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89</w:t>
      </w:r>
    </w:p>
    <w:p>
      <w:r>
        <w:t>Bundesgericht (BGE), 1976-06-23, FR</w:t>
      </w:r>
    </w:p>
    <w:p>
      <w:r>
        <w:rPr>
          <w:b/>
        </w:rPr>
        <w:t xml:space="preserve">Quelle: </w:t>
      </w:r>
      <w:r>
        <w:t>https://mcp.opencaselaw.ch/entscheid/bge_102 III 89</w:t>
      </w:r>
    </w:p>
    <w:p>
      <w:r>
        <w:t>FR: ATF 102 III 89</w:t>
      </w:r>
    </w:p>
    <w:p>
      <w:r>
        <w:t>IT: DTF 102 III 89</w:t>
      </w:r>
    </w:p>
    <w:p>
      <w:pPr>
        <w:pStyle w:val="Heading2"/>
      </w:pPr>
      <w:r>
        <w:t>Regeste</w:t>
      </w:r>
    </w:p>
    <w:p>
      <w:r>
        <w:t>Regeste Art. 891 Abs. 2, 904 ZGB. Die Frage nach dem Umfang der durch das Faustpfand gewährten Sicherheit und nach demjenigen der Pfandhaft bei verpfändeten Grundpfandtiteln ist materiell-rechtlicher Natur. Es drängt sich auf, im Kollokationsplan über diese Punkte einen klaren Entscheid zu treffen, zumal den Betroffenen die Möglichkeit offen steht, den Kollokationsplan mit Klage anzufechten.</w:t>
      </w:r>
    </w:p>
    <w:p>
      <w:pPr>
        <w:pStyle w:val="Heading2"/>
      </w:pPr>
      <w:r>
        <w:t>Erwägungen</w:t>
      </w:r>
    </w:p>
    <w:p>
      <w:r>
        <w:rPr>
          <w:b/>
        </w:rPr>
        <w:t>E. 1</w:t>
      </w:r>
    </w:p>
    <w:p>
      <w:r>
        <w:t>L'administration de la faillite a qualité pour recourir, car elle défend les intérêts de la masse ( ATF 100 III 65 consid. 1 et les arrêts cités).</w:t>
      </w:r>
    </w:p>
    <w:p>
      <w:r>
        <w:rPr>
          <w:b/>
        </w:rPr>
        <w:t>E. 2</w:t>
      </w:r>
    </w:p>
    <w:p>
      <w:r>
        <w:t>La recourante ne remet en cause que la question de l'étendue du droit du créancier sur les titres donnés en nantissement. Elle part de l'idée que, comme il s'agit en l'espèce d'un gage mobilier constitué sur un titre hypothécaire, conformément à l' art. 904 CC , le gage ne s'étend, en l'absence de convention contraire, qu'à la prestation courant au moment de la réalisation. Le problème ainsi posé est le suivant: le gage porte-t-il seulement sur le montant en capital des deux obligations, soit 1'000'000 fr. au total, plus les intérêts courant au moment de la réalisation, ou bien, comme l'admet l'autorité de surveillance sur la base de l' art. 818 al. 1 ch. 3 CC , s'étend-il également aux intérêts de trois années échus avant l'ouverture de la faillite et à tous les intérêts qui ont couru depuis (l'intérêt ici pris en considération étant toujours celui de 5 1/2% prévu pour les deux obligations hypothécaires)? Reste encore le problème de l'étendue de la garantie: quelle que soit la réponse donnée à la première question, les obligations hypothécaires remises en nantissement garantissent-elles seulement le capital de la créance ou bien également les intérêts de 10% l'an courant sur la créance? Ces deux points relèvent du droit matériel et ne sauraient donc être réglés en procédure de plainte par l'autorité de surveillance. Il convient de prendre une décision à ce sujet dans l'état de collocation, respectivement l'état des charges, la voie de l'action en contestation de l'état de collocation étant ouverte aux intéressés (cf. dans ce sens ATF 41 III 227 ss consid. 1). En l'espèce, G. a voulu agir de la sorte, mais il en a été retenu par l'administration de la faillite. Il ressort clairement de toute la procédure que, jusqu'à l'état des charges annexé aux conditions de vente, une décision claire n'a jamais été prise à l'égard de G., ni en ce qui concerne l'étendue du droit du créancier, ni en ce qui a trait à l'étendue de la garantie. Or ce deuxième état des charges ne pouvait pas modifier le précédent sur des questions déterminantes pour la collocation BGE 102 III 89 S. 93 du créancier; une modification de ce type devrait être révoquée sur plainte, ce qui remet les choses dans la situation où elles se trouvaient sur la base de l'état des charges du 24 février 1973, soit dans l'équivoque. La décision de l'autorité de surveillance doit dès lors être annulée et l'affaire renvoyée à l'administration de la faillite pour qu'elle prenne une décision claire, susceptible d'être attaquée par la voie de l'action en contestation de l'état de collocation.</w:t>
      </w:r>
    </w:p>
    <w:p>
      <w:r>
        <w:rPr>
          <w:b/>
        </w:rPr>
        <w:t>E. 3</w:t>
      </w:r>
    </w:p>
    <w:p>
      <w:r>
        <w:t>Pour trancher les deux questions dans l'état de collocation, l'administration devra procéder sur la base d'un examen de la situation matérielle. a) Etendue du droit du créancier sur les obligations hypothécaires remises en gage. On est en présence d'un gage mobilier constitué sur une créance; les art. 899 ss CC sont applicables, notamment l' art. 904 CC . Certains coupons d'intérêts ne doivent plus guère exister, si bien que l' art. 904 al. 2 CC n'entre pas en considération. Il ne semble pas que les titres hypothécaires remis en nantissement (qui ne se trouvent pas au dossier) prévoient que le gage s'étend aux prestations accessoires. On doit donc présumer que le gage ne porte pas sur des intérêts autres que les intérêts courant au moment de la réalisation (dans ce sens: OFTINGER, n. 9 et 11; LEEMANN, n. 8-11 ad art. 904 CC ; ATF 41 III 455 ss, ATF 44 II 250 ss, ATF 71 III 157 , ATF 98 Ia 505 consid. 12). Sur la base de ce qui précède, la créance de G. devrait être colloquée de façon que le gage porte seulement sur le capital (350'000 fr. et 650'000 fr.) accru au prorata des intérêts courant au moment de la réalisation. Il appartiendra à G. d'attaquer l'état de collocation et de faire valoir ses arguments dans le cadre de ce procès civil. Ainsi, il pourra établir l'existence d'une convention contraire ou soutenir que la jurisprudence et la doctrine citées doivent être revues, ou bien encore faire état de l'argumentation qui est à la base de la décision attaquée, à savoir que, en cas de gage constitué sur un titre hypothécaire, il convient de déduire de la règle légale de l' art. 818 al. 1 ch. 3 CC que le gage s'étend également aux intérêts de trois années échus avant l'ouverture de la faillite et à ceux qui ont couru depuis. b) Etendue de la garantie fournie par le nantissement. Cette question n'est pas réglée par l'art. 904, mais par l' art. 891 al. 2 CC . Selon cette disposition légale, le gage mobilier garantit BGE 102 III 89 S. 94 au créancier tous les intérêts conventionnels existant encore au moment de la réalisation, ainsi que les frais de poursuite et les intérêts moratoires, par opposition à l' art. 818 al. 1 ch. 3 CC , qui, en cas de gage immobilier, limite la couverture aux intérêts de trois années échus avant l'ouverture de la faillite (cf. LEEMANN, n. 10; OFTINGER, n. 69 ad art. 891 CC ). Contrairement à l'opinion de l'administration de la faillite, rien ne peut être déduit de l'art. 126 al. 2 ORI. Abstraction faite de ce que l'ordonnance sur la réalisation forcée des immeubles ne saurait modifier la réglementation de droit matériel du code civil, la disposition susmentionnée a un sens tout autre que celui qu'en infère l'administration de la faillite; elle a pour seul but de préciser que, lorsque est remis en nantissement un titre de gage immobilier dont le montant nominal est supérieur au montant de la créance garantie par gage mobilier (créance dont le capital doit évidemment être accru des prétentions accessoires garanties par le nantissement en vertu de l' art. 891 al. 2 CC ), la différence forme une case libre. Ainsi, à première vue, la collocation devrait se faire de telle sorte que la créance de G. soit garantie par gage, en capital, frais de poursuite et intérêts, jusqu'à concurrence du montant de 1'000'000 fr., accru au prorata des intérêts courant sur les deux obligations hypothécaires au jour de la réalisation. Dispositiv Par ces motifs, la Chambre des poursuites et des faillites: Admet partiellement le recours en ce sens que la décision attaquée est annulée et l'affaire renvoyée à l'administration de la faillite pour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